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76" w:rsidRPr="00503476" w:rsidRDefault="00503476" w:rsidP="00503476">
      <w:pPr>
        <w:rPr>
          <w:rFonts w:ascii="Century Gothic" w:hAnsi="Century Gothic"/>
          <w:b/>
          <w:sz w:val="32"/>
          <w:szCs w:val="32"/>
          <w:u w:val="single"/>
        </w:rPr>
      </w:pPr>
      <w:r w:rsidRPr="00503476">
        <w:rPr>
          <w:rFonts w:ascii="Century Gothic" w:hAnsi="Century Gothic"/>
          <w:b/>
          <w:sz w:val="32"/>
          <w:szCs w:val="32"/>
          <w:u w:val="single"/>
        </w:rPr>
        <w:t>Christchurch- New Zealand</w:t>
      </w:r>
    </w:p>
    <w:p w:rsidR="00503476" w:rsidRDefault="00503476" w:rsidP="00503476">
      <w:pPr>
        <w:ind w:hanging="1276"/>
        <w:rPr>
          <w:rFonts w:ascii="Century Gothic" w:hAnsi="Century Gothic"/>
          <w:b/>
          <w:u w:val="single"/>
        </w:rPr>
      </w:pPr>
    </w:p>
    <w:p w:rsidR="00503476" w:rsidRPr="00503476" w:rsidRDefault="00503476" w:rsidP="00503476">
      <w:pPr>
        <w:ind w:left="1230" w:hanging="1276"/>
        <w:rPr>
          <w:rFonts w:ascii="Century Gothic" w:hAnsi="Century Gothic"/>
          <w:b/>
          <w:u w:val="single"/>
        </w:rPr>
      </w:pPr>
      <w:r w:rsidRPr="00503476">
        <w:rPr>
          <w:rFonts w:ascii="Century Gothic" w:hAnsi="Century Gothic"/>
          <w:b/>
          <w:u w:val="single"/>
        </w:rPr>
        <w:t>Background information</w:t>
      </w:r>
    </w:p>
    <w:p w:rsidR="00503476" w:rsidRPr="00503476" w:rsidRDefault="00503476" w:rsidP="00503476">
      <w:pPr>
        <w:ind w:hanging="46"/>
        <w:rPr>
          <w:rFonts w:ascii="Century Gothic" w:hAnsi="Century Gothic"/>
          <w:b/>
          <w:u w:val="single"/>
        </w:rPr>
      </w:pPr>
      <w:r w:rsidRPr="00503476">
        <w:rPr>
          <w:rFonts w:ascii="Century Gothic" w:eastAsia="Times New Roman" w:hAnsi="Century Gothic" w:cs="Times New Roman"/>
          <w:noProof/>
          <w:color w:val="373737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521871D9" wp14:editId="0ED473B1">
            <wp:simplePos x="0" y="0"/>
            <wp:positionH relativeFrom="column">
              <wp:posOffset>3524250</wp:posOffset>
            </wp:positionH>
            <wp:positionV relativeFrom="paragraph">
              <wp:posOffset>45085</wp:posOffset>
            </wp:positionV>
            <wp:extent cx="2985770" cy="3208655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476">
        <w:rPr>
          <w:rFonts w:ascii="Century Gothic" w:hAnsi="Century Gothic"/>
        </w:rPr>
        <w:t>New Zealand is located in the continent of Oceania in the Pacific Ocean. It is to the south east of Australia and consists of both a North and South Island.  The Earthquake occurred in Christchurch on the 22</w:t>
      </w:r>
      <w:r w:rsidRPr="00503476">
        <w:rPr>
          <w:rFonts w:ascii="Century Gothic" w:hAnsi="Century Gothic"/>
          <w:vertAlign w:val="superscript"/>
        </w:rPr>
        <w:t>nd</w:t>
      </w:r>
      <w:r w:rsidRPr="00503476">
        <w:rPr>
          <w:rFonts w:ascii="Century Gothic" w:hAnsi="Century Gothic"/>
        </w:rPr>
        <w:t xml:space="preserve"> of February 2011 at 12:51 and reached a magnitude of 6.3</w:t>
      </w:r>
    </w:p>
    <w:p w:rsidR="00503476" w:rsidRPr="00503476" w:rsidRDefault="00503476" w:rsidP="00503476">
      <w:pPr>
        <w:ind w:hanging="46"/>
        <w:rPr>
          <w:rFonts w:ascii="Century Gothic" w:hAnsi="Century Gothic"/>
          <w:b/>
          <w:u w:val="single"/>
        </w:rPr>
      </w:pPr>
      <w:r w:rsidRPr="00503476"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  <w:t>Causes</w:t>
      </w:r>
    </w:p>
    <w:p w:rsidR="00503476" w:rsidRPr="00503476" w:rsidRDefault="00503476" w:rsidP="00503476">
      <w:pPr>
        <w:rPr>
          <w:rFonts w:ascii="Century Gothic" w:eastAsia="Times New Roman" w:hAnsi="Century Gothic" w:cs="Times New Roman"/>
          <w:color w:val="373737"/>
          <w:shd w:val="clear" w:color="auto" w:fill="FFFFFF"/>
        </w:rPr>
      </w:pPr>
      <w:r w:rsidRPr="00503476">
        <w:rPr>
          <w:rFonts w:ascii="Century Gothic" w:eastAsia="Times New Roman" w:hAnsi="Century Gothic" w:cs="Times New Roman"/>
          <w:color w:val="373737"/>
          <w:shd w:val="clear" w:color="auto" w:fill="FFFFFF"/>
        </w:rPr>
        <w:t>New Zealand is along the Australian and Pacific plate boundary (conservative plate margin). The earthquake was caused when the Pacific plate slid past the Australian plate in the other direction.</w:t>
      </w:r>
    </w:p>
    <w:p w:rsidR="00503476" w:rsidRPr="00503476" w:rsidRDefault="00503476" w:rsidP="00503476">
      <w:pPr>
        <w:rPr>
          <w:rFonts w:ascii="Century Gothic" w:eastAsia="Times New Roman" w:hAnsi="Century Gothic" w:cs="Times New Roman"/>
          <w:color w:val="373737"/>
          <w:shd w:val="clear" w:color="auto" w:fill="FFFFFF"/>
        </w:rPr>
      </w:pPr>
      <w:r w:rsidRPr="00503476">
        <w:rPr>
          <w:rFonts w:ascii="Century Gothic" w:eastAsia="Times New Roman" w:hAnsi="Century Gothic" w:cs="Times New Roman"/>
          <w:color w:val="373737"/>
          <w:shd w:val="clear" w:color="auto" w:fill="FFFFFF"/>
        </w:rPr>
        <w:t xml:space="preserve">   </w:t>
      </w:r>
    </w:p>
    <w:p w:rsidR="00503476" w:rsidRPr="00503476" w:rsidRDefault="00503476" w:rsidP="00503476">
      <w:pPr>
        <w:rPr>
          <w:rFonts w:ascii="Century Gothic" w:eastAsia="Times New Roman" w:hAnsi="Century Gothic" w:cs="Times New Roman"/>
          <w:color w:val="373737"/>
          <w:shd w:val="clear" w:color="auto" w:fill="FFFFFF"/>
        </w:rPr>
      </w:pPr>
    </w:p>
    <w:p w:rsid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p w:rsid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p w:rsid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p w:rsid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p w:rsidR="00503476" w:rsidRP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  <w:r w:rsidRPr="00503476"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  <w:t>Effects</w:t>
      </w:r>
    </w:p>
    <w:p w:rsidR="00503476" w:rsidRP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503476" w:rsidRPr="00503476" w:rsidTr="00503476">
        <w:trPr>
          <w:trHeight w:val="432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  <w:r w:rsidRPr="00503476"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  <w:t xml:space="preserve">Primary </w:t>
            </w: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  <w:r w:rsidRPr="00503476"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  <w:t>Secondary</w:t>
            </w:r>
          </w:p>
        </w:tc>
      </w:tr>
      <w:tr w:rsidR="00503476" w:rsidRPr="00503476" w:rsidTr="00503476">
        <w:trPr>
          <w:trHeight w:val="997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181 people were killed and around 2,000 people were injured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Business were put out of action for long periods causing losses of income and jobs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  <w:tr w:rsidR="00503476" w:rsidRPr="00503476" w:rsidTr="00503476">
        <w:trPr>
          <w:trHeight w:val="1688"/>
        </w:trPr>
        <w:tc>
          <w:tcPr>
            <w:tcW w:w="2500" w:type="pct"/>
          </w:tcPr>
          <w:tbl>
            <w:tblPr>
              <w:tblW w:w="9061" w:type="dxa"/>
              <w:tblCellSpacing w:w="0" w:type="dxa"/>
              <w:tblBorders>
                <w:top w:val="outset" w:sz="2" w:space="0" w:color="auto"/>
                <w:left w:val="outset" w:sz="2" w:space="0" w:color="auto"/>
                <w:bottom w:val="single" w:sz="6" w:space="0" w:color="DDDDDD"/>
                <w:right w:val="outset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503476" w:rsidRPr="00503476" w:rsidTr="00503476">
              <w:trPr>
                <w:trHeight w:val="761"/>
                <w:tblCellSpacing w:w="0" w:type="dxa"/>
              </w:trPr>
              <w:tc>
                <w:tcPr>
                  <w:tcW w:w="9061" w:type="dxa"/>
                  <w:tcBorders>
                    <w:top w:val="single" w:sz="6" w:space="0" w:color="DDDDDD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503476" w:rsidRPr="00503476" w:rsidRDefault="00503476" w:rsidP="00503476">
                  <w:pPr>
                    <w:spacing w:line="366" w:lineRule="atLeast"/>
                    <w:rPr>
                      <w:rFonts w:ascii="Century Gothic" w:eastAsia="Times New Roman" w:hAnsi="Century Gothic" w:cs="Times New Roman"/>
                      <w:color w:val="373737"/>
                    </w:rPr>
                  </w:pPr>
                  <w:r w:rsidRPr="00503476">
                    <w:rPr>
                      <w:rFonts w:ascii="Century Gothic" w:eastAsia="Times New Roman" w:hAnsi="Century Gothic" w:cs="Times New Roman"/>
                      <w:color w:val="373737"/>
                    </w:rPr>
                    <w:t>Hundreds of kilometres of water and sewage pipes were damaged</w:t>
                  </w:r>
                </w:p>
              </w:tc>
            </w:tr>
          </w:tbl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  <w:tc>
          <w:tcPr>
            <w:tcW w:w="2500" w:type="pct"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br/>
              <w:t>Schools had to share classrooms because of the damage to other school buildings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  <w:tr w:rsidR="00503476" w:rsidRPr="00503476" w:rsidTr="00503476">
        <w:trPr>
          <w:trHeight w:val="132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50% + of Central City buildings severely damaged including the city’s cathedral which lost its spire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Damage to roads through liquefaction made it difficult for people and emergency services to move around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  <w:tr w:rsidR="00503476" w:rsidRPr="00503476" w:rsidTr="00503476">
        <w:trPr>
          <w:trHeight w:val="1074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Liquefaction (where the ground gets saturated and loses strength) caused lots of damage to roads and buildings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People were affected mentally by the earthquakes and needed support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  <w:tr w:rsidR="00503476" w:rsidRPr="00503476" w:rsidTr="00503476">
        <w:trPr>
          <w:trHeight w:val="1252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Part (size of 20 football fields) of the country’s longest glacier was broken off creating a large iceberg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Christchurch could no longer host Rugby World Cup matches so lost the benefits, e.g. tourism and income, they would bring</w:t>
            </w:r>
          </w:p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  <w:tr w:rsidR="00503476" w:rsidRPr="00503476" w:rsidTr="00503476">
        <w:trPr>
          <w:trHeight w:val="476"/>
        </w:trPr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 xml:space="preserve">80 percent of the city was out of </w:t>
            </w:r>
            <w:r w:rsidRPr="00503476">
              <w:rPr>
                <w:rFonts w:ascii="Century Gothic" w:eastAsia="Times New Roman" w:hAnsi="Century Gothic" w:cs="Times New Roman"/>
                <w:color w:val="373737"/>
                <w:shd w:val="clear" w:color="auto" w:fill="FFFFFF"/>
              </w:rPr>
              <w:t>electricity</w:t>
            </w:r>
          </w:p>
        </w:tc>
        <w:tc>
          <w:tcPr>
            <w:tcW w:w="2500" w:type="pct"/>
          </w:tcPr>
          <w:p w:rsidR="00503476" w:rsidRPr="00503476" w:rsidRDefault="00503476" w:rsidP="00503476">
            <w:pPr>
              <w:rPr>
                <w:rFonts w:ascii="Century Gothic" w:eastAsia="Times New Roman" w:hAnsi="Century Gothic" w:cs="Times New Roman"/>
                <w:b/>
                <w:color w:val="373737"/>
                <w:u w:val="single"/>
                <w:shd w:val="clear" w:color="auto" w:fill="FFFFFF"/>
              </w:rPr>
            </w:pPr>
          </w:p>
        </w:tc>
      </w:tr>
    </w:tbl>
    <w:p w:rsidR="00503476" w:rsidRP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</w:p>
    <w:p w:rsidR="00503476" w:rsidRDefault="00503476" w:rsidP="00503476">
      <w:pPr>
        <w:rPr>
          <w:rFonts w:ascii="Century Gothic" w:eastAsia="Times New Roman" w:hAnsi="Century Gothic" w:cs="Times New Roman"/>
          <w:color w:val="373737"/>
          <w:shd w:val="clear" w:color="auto" w:fill="FFFFFF"/>
        </w:rPr>
      </w:pPr>
      <w:r>
        <w:rPr>
          <w:rFonts w:ascii="Century Gothic" w:eastAsia="Times New Roman" w:hAnsi="Century Gothic" w:cs="Times New Roman"/>
          <w:color w:val="373737"/>
          <w:shd w:val="clear" w:color="auto" w:fill="FFFFFF"/>
        </w:rPr>
        <w:t>#</w:t>
      </w:r>
    </w:p>
    <w:p w:rsidR="00503476" w:rsidRDefault="00503476" w:rsidP="00503476">
      <w:pPr>
        <w:rPr>
          <w:rFonts w:ascii="Century Gothic" w:eastAsia="Times New Roman" w:hAnsi="Century Gothic" w:cs="Times New Roman"/>
          <w:color w:val="373737"/>
          <w:shd w:val="clear" w:color="auto" w:fill="FFFFFF"/>
        </w:rPr>
      </w:pPr>
    </w:p>
    <w:p w:rsidR="00503476" w:rsidRPr="00503476" w:rsidRDefault="00503476" w:rsidP="00503476">
      <w:pPr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</w:pPr>
      <w:r w:rsidRPr="00503476">
        <w:rPr>
          <w:rFonts w:ascii="Century Gothic" w:eastAsia="Times New Roman" w:hAnsi="Century Gothic" w:cs="Times New Roman"/>
          <w:b/>
          <w:color w:val="373737"/>
          <w:u w:val="single"/>
          <w:shd w:val="clear" w:color="auto" w:fill="FFFFFF"/>
        </w:rPr>
        <w:lastRenderedPageBreak/>
        <w:t>Response</w:t>
      </w:r>
    </w:p>
    <w:tbl>
      <w:tblPr>
        <w:tblpPr w:leftFromText="180" w:rightFromText="180" w:vertAnchor="text" w:horzAnchor="page" w:tblpX="718" w:tblpY="274"/>
        <w:tblOverlap w:val="never"/>
        <w:tblW w:w="5000" w:type="pct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7"/>
      </w:tblGrid>
      <w:tr w:rsidR="00503476" w:rsidRPr="00503476" w:rsidTr="00503476">
        <w:trPr>
          <w:trHeight w:val="403"/>
          <w:tblCellSpacing w:w="0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jc w:val="center"/>
              <w:textAlignment w:val="baseline"/>
              <w:rPr>
                <w:rFonts w:ascii="Century Gothic" w:hAnsi="Century Gothic" w:cs="Times New Roman"/>
                <w:color w:val="373737"/>
              </w:rPr>
            </w:pPr>
            <w:r w:rsidRPr="00503476">
              <w:rPr>
                <w:rFonts w:ascii="Century Gothic" w:hAnsi="Century Gothic" w:cs="Times New Roman"/>
                <w:b/>
                <w:bCs/>
                <w:color w:val="373737"/>
                <w:bdr w:val="none" w:sz="0" w:space="0" w:color="auto" w:frame="1"/>
              </w:rPr>
              <w:t>Short Term</w:t>
            </w:r>
            <w:r w:rsidRPr="00503476">
              <w:rPr>
                <w:rFonts w:ascii="Century Gothic" w:hAnsi="Century Gothic" w:cs="Times New Roman"/>
                <w:b/>
                <w:bCs/>
                <w:color w:val="373737"/>
                <w:bdr w:val="none" w:sz="0" w:space="0" w:color="auto" w:frame="1"/>
              </w:rPr>
              <w:t xml:space="preserve"> Response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jc w:val="center"/>
              <w:textAlignment w:val="baseline"/>
              <w:rPr>
                <w:rFonts w:ascii="Century Gothic" w:hAnsi="Century Gothic" w:cs="Times New Roman"/>
                <w:color w:val="373737"/>
              </w:rPr>
            </w:pPr>
            <w:r w:rsidRPr="00503476">
              <w:rPr>
                <w:rFonts w:ascii="Century Gothic" w:hAnsi="Century Gothic" w:cs="Times New Roman"/>
                <w:b/>
                <w:bCs/>
                <w:color w:val="373737"/>
                <w:bdr w:val="none" w:sz="0" w:space="0" w:color="auto" w:frame="1"/>
              </w:rPr>
              <w:t>Long Term</w:t>
            </w:r>
            <w:r w:rsidRPr="00503476">
              <w:rPr>
                <w:rFonts w:ascii="Century Gothic" w:hAnsi="Century Gothic" w:cs="Times New Roman"/>
                <w:b/>
                <w:bCs/>
                <w:color w:val="373737"/>
                <w:bdr w:val="none" w:sz="0" w:space="0" w:color="auto" w:frame="1"/>
              </w:rPr>
              <w:t xml:space="preserve"> Response</w:t>
            </w:r>
          </w:p>
        </w:tc>
      </w:tr>
      <w:tr w:rsidR="00503476" w:rsidRPr="00503476" w:rsidTr="00503476">
        <w:trPr>
          <w:trHeight w:val="1164"/>
          <w:tblCellSpacing w:w="0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Cared for the most vulnerable people and ensured people were safe from dangerous buildings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Paid $898 million in building claims</w:t>
            </w:r>
          </w:p>
        </w:tc>
      </w:tr>
      <w:tr w:rsidR="00503476" w:rsidRPr="00503476" w:rsidTr="00503476">
        <w:trPr>
          <w:trHeight w:val="1179"/>
          <w:tblCellSpacing w:w="0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Chemical toilets were provided for 30,000 residents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Provided temporary housing and ensured all damaged housing was kept water tight</w:t>
            </w:r>
          </w:p>
        </w:tc>
      </w:tr>
      <w:tr w:rsidR="00503476" w:rsidRPr="00503476" w:rsidTr="00503476">
        <w:trPr>
          <w:trHeight w:val="1164"/>
          <w:tblCellSpacing w:w="0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Areas were zoned (green, orange, white, red) to classify damage/cost of repairs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Water and sewerage was restored for all residents by August</w:t>
            </w:r>
          </w:p>
        </w:tc>
      </w:tr>
      <w:tr w:rsidR="00503476" w:rsidRPr="00503476" w:rsidTr="00503476">
        <w:trPr>
          <w:trHeight w:val="1567"/>
          <w:tblCellSpacing w:w="0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International aid was provided in the form of money (around $6-7 million) and aid workers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03476" w:rsidRPr="00503476" w:rsidRDefault="00503476" w:rsidP="00503476">
            <w:pPr>
              <w:spacing w:line="366" w:lineRule="atLeast"/>
              <w:rPr>
                <w:rFonts w:ascii="Century Gothic" w:eastAsia="Times New Roman" w:hAnsi="Century Gothic" w:cs="Times New Roman"/>
                <w:color w:val="373737"/>
              </w:rPr>
            </w:pPr>
            <w:r w:rsidRPr="00503476">
              <w:rPr>
                <w:rFonts w:ascii="Century Gothic" w:eastAsia="Times New Roman" w:hAnsi="Century Gothic" w:cs="Times New Roman"/>
                <w:color w:val="373737"/>
              </w:rPr>
              <w:t>Roads and houses were cleared of silt from liquefaction by August and 80% of roads/50% of footpaths were repaired</w:t>
            </w:r>
          </w:p>
        </w:tc>
      </w:tr>
    </w:tbl>
    <w:p w:rsidR="00503476" w:rsidRPr="0097121B" w:rsidRDefault="00503476" w:rsidP="00503476">
      <w:pPr>
        <w:rPr>
          <w:rFonts w:ascii="Times" w:eastAsia="Times New Roman" w:hAnsi="Times" w:cs="Times New Roman"/>
          <w:sz w:val="20"/>
          <w:szCs w:val="20"/>
        </w:rPr>
      </w:pPr>
    </w:p>
    <w:p w:rsidR="00503476" w:rsidRPr="0097121B" w:rsidRDefault="00503476" w:rsidP="00503476">
      <w:pPr>
        <w:ind w:hanging="1276"/>
        <w:rPr>
          <w:b/>
          <w:sz w:val="40"/>
          <w:szCs w:val="40"/>
          <w:u w:val="single"/>
        </w:rPr>
      </w:pPr>
    </w:p>
    <w:p w:rsidR="0046684E" w:rsidRDefault="0046684E" w:rsidP="00503476">
      <w:bookmarkStart w:id="0" w:name="_GoBack"/>
      <w:bookmarkEnd w:id="0"/>
    </w:p>
    <w:sectPr w:rsidR="0046684E" w:rsidSect="0050347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76"/>
    <w:rsid w:val="0046684E"/>
    <w:rsid w:val="005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2565"/>
  <w15:chartTrackingRefBased/>
  <w15:docId w15:val="{A2192588-8285-4D34-8E68-D4B010AA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34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2017-04-13T16:59:00Z</dcterms:created>
  <dcterms:modified xsi:type="dcterms:W3CDTF">2017-04-13T17:01:00Z</dcterms:modified>
</cp:coreProperties>
</file>